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594" w:rsidRPr="00BC44A3" w:rsidRDefault="00DD1594" w:rsidP="00DD1594">
      <w:pPr>
        <w:spacing w:after="0" w:line="240" w:lineRule="auto"/>
        <w:jc w:val="center"/>
        <w:rPr>
          <w:b/>
          <w:sz w:val="24"/>
          <w:szCs w:val="24"/>
        </w:rPr>
      </w:pPr>
      <w:proofErr w:type="gramStart"/>
      <w:r w:rsidRPr="00BC44A3">
        <w:rPr>
          <w:b/>
          <w:sz w:val="24"/>
          <w:szCs w:val="24"/>
        </w:rPr>
        <w:t>ПОЯСНИТЕЛЬНАЯ  ЗАПИСКА</w:t>
      </w:r>
      <w:proofErr w:type="gramEnd"/>
    </w:p>
    <w:p w:rsidR="00DD1594" w:rsidRPr="00BC44A3" w:rsidRDefault="00DD1594" w:rsidP="00DD1594">
      <w:pPr>
        <w:spacing w:after="0" w:line="240" w:lineRule="auto"/>
        <w:jc w:val="center"/>
        <w:rPr>
          <w:b/>
          <w:sz w:val="24"/>
          <w:szCs w:val="24"/>
        </w:rPr>
      </w:pPr>
      <w:proofErr w:type="gramStart"/>
      <w:r w:rsidRPr="00BC44A3">
        <w:rPr>
          <w:b/>
          <w:sz w:val="24"/>
          <w:szCs w:val="24"/>
        </w:rPr>
        <w:t>к</w:t>
      </w:r>
      <w:proofErr w:type="gramEnd"/>
      <w:r w:rsidRPr="00BC44A3">
        <w:rPr>
          <w:b/>
          <w:sz w:val="24"/>
          <w:szCs w:val="24"/>
        </w:rPr>
        <w:t xml:space="preserve"> проекту  постановления Правительства Республики Башкортостан </w:t>
      </w:r>
    </w:p>
    <w:p w:rsidR="00DD1594" w:rsidRPr="00BC44A3" w:rsidRDefault="00DD1594" w:rsidP="00DD1594">
      <w:pPr>
        <w:tabs>
          <w:tab w:val="left" w:pos="5529"/>
          <w:tab w:val="left" w:pos="5670"/>
          <w:tab w:val="left" w:pos="6096"/>
          <w:tab w:val="left" w:pos="10035"/>
        </w:tabs>
        <w:spacing w:after="0" w:line="240" w:lineRule="auto"/>
        <w:ind w:right="-30"/>
        <w:jc w:val="both"/>
        <w:rPr>
          <w:b/>
          <w:sz w:val="24"/>
          <w:szCs w:val="24"/>
        </w:rPr>
      </w:pPr>
      <w:r w:rsidRPr="00BC44A3">
        <w:rPr>
          <w:b/>
          <w:sz w:val="24"/>
          <w:szCs w:val="24"/>
        </w:rPr>
        <w:t xml:space="preserve">«О стандартах </w:t>
      </w:r>
      <w:proofErr w:type="gramStart"/>
      <w:r w:rsidRPr="00BC44A3">
        <w:rPr>
          <w:b/>
          <w:sz w:val="24"/>
          <w:szCs w:val="24"/>
        </w:rPr>
        <w:t>саморегулируемых  организаций</w:t>
      </w:r>
      <w:proofErr w:type="gramEnd"/>
      <w:r w:rsidRPr="00BC44A3">
        <w:rPr>
          <w:b/>
          <w:sz w:val="24"/>
          <w:szCs w:val="24"/>
        </w:rPr>
        <w:t xml:space="preserve">, применяемых в целях повышения безопасности, качества и </w:t>
      </w:r>
      <w:proofErr w:type="spellStart"/>
      <w:r w:rsidRPr="00BC44A3">
        <w:rPr>
          <w:b/>
          <w:sz w:val="24"/>
          <w:szCs w:val="24"/>
        </w:rPr>
        <w:t>энергоэффективности</w:t>
      </w:r>
      <w:proofErr w:type="spellEnd"/>
      <w:r w:rsidRPr="00BC44A3">
        <w:rPr>
          <w:b/>
          <w:sz w:val="24"/>
          <w:szCs w:val="24"/>
        </w:rPr>
        <w:t xml:space="preserve"> объектов капитального строительства в Республике Башкортостан» </w:t>
      </w:r>
    </w:p>
    <w:p w:rsidR="00DD1594" w:rsidRPr="00BC44A3" w:rsidRDefault="00DD1594" w:rsidP="00DD1594">
      <w:pPr>
        <w:spacing w:after="0" w:line="240" w:lineRule="auto"/>
        <w:ind w:right="-2"/>
        <w:jc w:val="both"/>
        <w:rPr>
          <w:sz w:val="24"/>
          <w:szCs w:val="24"/>
        </w:rPr>
      </w:pPr>
    </w:p>
    <w:p w:rsidR="00DD1594" w:rsidRPr="00BC44A3" w:rsidRDefault="00DD1594" w:rsidP="00DD1594">
      <w:pPr>
        <w:spacing w:after="0" w:line="240" w:lineRule="auto"/>
        <w:jc w:val="both"/>
        <w:rPr>
          <w:sz w:val="24"/>
          <w:szCs w:val="24"/>
        </w:rPr>
      </w:pPr>
      <w:r w:rsidRPr="00BC44A3">
        <w:rPr>
          <w:sz w:val="24"/>
          <w:szCs w:val="24"/>
        </w:rPr>
        <w:t xml:space="preserve">В соответствии   с   Федеральным   законом   от   27 декабря   2002   года № 184-ФЗ «О техническом регулировании» обязательные требования к объектам технического регулирования могут быть установлены только техническими регламентами. Указанным Федеральным законом (статья 5.1) установлено, что особенности технического регулирования в области обеспечения безопасности зданий и сооружений устанавливаются Федеральным законом от 30 декабря 2009 года № 384-ФЗ «Технический регламент о безопасности зданий и сооружений» (далее - Технический регламент № 384-ФЗ). Эти особенности выражаются, в том числе, в наличии утверждаемого Правительством Российской Федерации Перечня национальных стандартов и сводов правил обязательного применения. Федеральным законом 30 декабря 2009 года от № 385-ФЗ были внесены изменения в Федеральный закон от 27 декабря 2002 года № 184-ФЗ «О техническом регулировании» в части включения в цели принятия технических регламентов «повышения </w:t>
      </w:r>
      <w:proofErr w:type="spellStart"/>
      <w:r w:rsidRPr="00BC44A3">
        <w:rPr>
          <w:sz w:val="24"/>
          <w:szCs w:val="24"/>
        </w:rPr>
        <w:t>энергоэффективности</w:t>
      </w:r>
      <w:proofErr w:type="spellEnd"/>
      <w:r w:rsidRPr="00BC44A3">
        <w:rPr>
          <w:sz w:val="24"/>
          <w:szCs w:val="24"/>
        </w:rPr>
        <w:t xml:space="preserve"> продукции и процессов ее производства и эксплуатации». </w:t>
      </w:r>
    </w:p>
    <w:p w:rsidR="00DD1594" w:rsidRPr="00BC44A3" w:rsidRDefault="00DD1594" w:rsidP="00DD1594">
      <w:pPr>
        <w:spacing w:after="0" w:line="240" w:lineRule="auto"/>
        <w:jc w:val="both"/>
        <w:rPr>
          <w:sz w:val="24"/>
          <w:szCs w:val="24"/>
        </w:rPr>
      </w:pPr>
      <w:r w:rsidRPr="00BC44A3">
        <w:rPr>
          <w:sz w:val="24"/>
          <w:szCs w:val="24"/>
        </w:rPr>
        <w:t xml:space="preserve">Требования технического регламента к зданиям и сооружениям и процессам их проектирования, производства (строительства), эксплуатации и сноса (утилизации) носят общий характер и детально раскрываются </w:t>
      </w:r>
      <w:proofErr w:type="gramStart"/>
      <w:r w:rsidRPr="00BC44A3">
        <w:rPr>
          <w:sz w:val="24"/>
          <w:szCs w:val="24"/>
        </w:rPr>
        <w:t>в  документах</w:t>
      </w:r>
      <w:proofErr w:type="gramEnd"/>
      <w:r w:rsidRPr="00BC44A3">
        <w:rPr>
          <w:sz w:val="24"/>
          <w:szCs w:val="24"/>
        </w:rPr>
        <w:t xml:space="preserve"> в области стандартизации, перечисленных в Федеральном законе от 27 декабря 2002 года № 184-ФЗ «О техническом регулировании»: национальных стандартах, сводах правил и стандартах организации. Территориальные строительные нормы, возможность принятия которых допускалась в ныне утратившем силу СНИП 10-01-94 «Система нормативных документов в строительстве. Основные положения», не относятся в настоящее время к документам в области стандартизации и сохраняют свое значение только в качестве справочно-методических документов.  </w:t>
      </w:r>
    </w:p>
    <w:p w:rsidR="00DD1594" w:rsidRPr="00BC44A3" w:rsidRDefault="00DD1594" w:rsidP="00DD1594">
      <w:pPr>
        <w:spacing w:after="0" w:line="240" w:lineRule="auto"/>
        <w:jc w:val="both"/>
        <w:rPr>
          <w:sz w:val="24"/>
          <w:szCs w:val="24"/>
        </w:rPr>
      </w:pPr>
      <w:r w:rsidRPr="00BC44A3">
        <w:rPr>
          <w:sz w:val="24"/>
          <w:szCs w:val="24"/>
        </w:rPr>
        <w:t xml:space="preserve"> </w:t>
      </w:r>
      <w:r w:rsidRPr="00BC44A3">
        <w:rPr>
          <w:rFonts w:eastAsia="Petersburg-Regular"/>
          <w:sz w:val="24"/>
          <w:szCs w:val="24"/>
        </w:rPr>
        <w:t xml:space="preserve">Таким образом, учет территориальных (региональных) особенностей в технических нормативах по строительству может быть </w:t>
      </w:r>
      <w:proofErr w:type="gramStart"/>
      <w:r w:rsidRPr="00BC44A3">
        <w:rPr>
          <w:rFonts w:eastAsia="Petersburg-Regular"/>
          <w:sz w:val="24"/>
          <w:szCs w:val="24"/>
        </w:rPr>
        <w:t>осуществлен  либо</w:t>
      </w:r>
      <w:proofErr w:type="gramEnd"/>
      <w:r w:rsidRPr="00BC44A3">
        <w:rPr>
          <w:rFonts w:eastAsia="Petersburg-Regular"/>
          <w:sz w:val="24"/>
          <w:szCs w:val="24"/>
        </w:rPr>
        <w:t xml:space="preserve"> в национальных стандартах и сводах правил, либо в других документах в области стандартизации, перечисленных в статье 13 </w:t>
      </w:r>
      <w:r w:rsidRPr="00BC44A3">
        <w:rPr>
          <w:sz w:val="24"/>
          <w:szCs w:val="24"/>
        </w:rPr>
        <w:t xml:space="preserve">Федерального закона от 27 декабря   2002 года № 184-ФЗ «О техническом регулировании», в том числе в стандартах организации. </w:t>
      </w:r>
    </w:p>
    <w:p w:rsidR="00DD1594" w:rsidRPr="00BC44A3" w:rsidRDefault="00DD1594" w:rsidP="00DD1594">
      <w:pPr>
        <w:spacing w:after="0" w:line="240" w:lineRule="auto"/>
        <w:jc w:val="both"/>
        <w:rPr>
          <w:sz w:val="24"/>
          <w:szCs w:val="24"/>
        </w:rPr>
      </w:pPr>
      <w:r w:rsidRPr="00BC44A3">
        <w:rPr>
          <w:rFonts w:eastAsia="Petersburg-Regular"/>
          <w:sz w:val="24"/>
          <w:szCs w:val="24"/>
        </w:rPr>
        <w:t xml:space="preserve">Следует пояснить особую роль </w:t>
      </w:r>
      <w:r w:rsidRPr="00BC44A3">
        <w:rPr>
          <w:sz w:val="24"/>
          <w:szCs w:val="24"/>
        </w:rPr>
        <w:t xml:space="preserve">стандартов саморегулируемых организаций (далее – СРО) в сфере строительства. </w:t>
      </w:r>
    </w:p>
    <w:p w:rsidR="00DD1594" w:rsidRPr="00BC44A3" w:rsidRDefault="00DD1594" w:rsidP="00DD1594">
      <w:pPr>
        <w:spacing w:after="0" w:line="240" w:lineRule="auto"/>
        <w:jc w:val="both"/>
        <w:rPr>
          <w:sz w:val="24"/>
          <w:szCs w:val="24"/>
        </w:rPr>
      </w:pPr>
      <w:r w:rsidRPr="00BC44A3">
        <w:rPr>
          <w:sz w:val="24"/>
          <w:szCs w:val="24"/>
        </w:rPr>
        <w:t>Во-первых, разработка и принятие стандартов организации и правил контроля за их исполнением – составляет содержание деятельности СРО (статьи 55.1, 55.5 Градостроительного кодекса РФ).</w:t>
      </w:r>
    </w:p>
    <w:p w:rsidR="00DD1594" w:rsidRPr="00BC44A3" w:rsidRDefault="00DD1594" w:rsidP="00DD1594">
      <w:pPr>
        <w:spacing w:after="0" w:line="240" w:lineRule="auto"/>
        <w:jc w:val="both"/>
        <w:rPr>
          <w:sz w:val="24"/>
          <w:szCs w:val="24"/>
        </w:rPr>
      </w:pPr>
      <w:r w:rsidRPr="00BC44A3">
        <w:rPr>
          <w:sz w:val="24"/>
          <w:szCs w:val="24"/>
        </w:rPr>
        <w:t xml:space="preserve">Во-вторых, вся концепция Градостроительного кодекса РФ построена на подтверждении соответствия всех этапов градостроительной деятельности требованиям технических регламентов. Требования Технического регламента «О безопасности зданий и сооружений» к проектной документации и процессам строительства реализуются через требования национальных стандартов, сводов правил и стандартов организации. При этом требования Технического регламента «О безопасности зданий и сооружений» в части, относящейся к процессам строительства, сформулированы </w:t>
      </w:r>
      <w:proofErr w:type="gramStart"/>
      <w:r w:rsidRPr="00BC44A3">
        <w:rPr>
          <w:sz w:val="24"/>
          <w:szCs w:val="24"/>
        </w:rPr>
        <w:t>настолько  в</w:t>
      </w:r>
      <w:proofErr w:type="gramEnd"/>
      <w:r w:rsidRPr="00BC44A3">
        <w:rPr>
          <w:sz w:val="24"/>
          <w:szCs w:val="24"/>
        </w:rPr>
        <w:t xml:space="preserve"> общем виде, что  практическое применение Технического регламента  в этой части невозможно без создания массива нормативно-технических документов, содержащих правила  выполнения строительных работ, требования к результатам таких работ и требования к контролю за результатами работ. В качестве таких нормативно-технических документов Градостроительный кодекс РФ (статья 55.5) определил стандарты организаций, т.е. стандарты СРО. </w:t>
      </w:r>
    </w:p>
    <w:p w:rsidR="00DD1594" w:rsidRPr="00BC44A3" w:rsidRDefault="00DD1594" w:rsidP="00DD1594">
      <w:pPr>
        <w:autoSpaceDE w:val="0"/>
        <w:autoSpaceDN w:val="0"/>
        <w:adjustRightInd w:val="0"/>
        <w:ind w:right="-142" w:firstLine="540"/>
        <w:jc w:val="both"/>
        <w:outlineLvl w:val="1"/>
        <w:rPr>
          <w:sz w:val="24"/>
          <w:szCs w:val="24"/>
        </w:rPr>
      </w:pPr>
      <w:r w:rsidRPr="00BC44A3">
        <w:rPr>
          <w:sz w:val="24"/>
          <w:szCs w:val="24"/>
        </w:rPr>
        <w:t xml:space="preserve">В соответствии с частью 4 статьи 16.1 Федерального закона № 184-ФЗ «О техническом </w:t>
      </w:r>
      <w:proofErr w:type="gramStart"/>
      <w:r w:rsidRPr="00BC44A3">
        <w:rPr>
          <w:sz w:val="24"/>
          <w:szCs w:val="24"/>
        </w:rPr>
        <w:t>регулировании»  неприменение</w:t>
      </w:r>
      <w:proofErr w:type="gramEnd"/>
      <w:r w:rsidRPr="00BC44A3">
        <w:rPr>
          <w:sz w:val="24"/>
          <w:szCs w:val="24"/>
        </w:rPr>
        <w:t xml:space="preserve"> национальных  стандартов и (или) сводов правил не может </w:t>
      </w:r>
      <w:r w:rsidRPr="00BC44A3">
        <w:rPr>
          <w:sz w:val="24"/>
          <w:szCs w:val="24"/>
        </w:rPr>
        <w:lastRenderedPageBreak/>
        <w:t>оцениваться как несоблюдение требований технических регламентов. В этом случае допускается</w:t>
      </w:r>
      <w:r w:rsidRPr="00BC44A3">
        <w:rPr>
          <w:bCs/>
          <w:sz w:val="24"/>
          <w:szCs w:val="24"/>
        </w:rPr>
        <w:t xml:space="preserve"> применение   стандартов организаций для оценки соответствия требованиям технических регламентов. </w:t>
      </w:r>
      <w:r w:rsidRPr="00BC44A3">
        <w:rPr>
          <w:sz w:val="24"/>
          <w:szCs w:val="24"/>
        </w:rPr>
        <w:t xml:space="preserve"> При этом в соответствии с частью 1 статьи </w:t>
      </w:r>
      <w:proofErr w:type="gramStart"/>
      <w:r w:rsidRPr="00BC44A3">
        <w:rPr>
          <w:sz w:val="24"/>
          <w:szCs w:val="24"/>
        </w:rPr>
        <w:t>39  Технического</w:t>
      </w:r>
      <w:proofErr w:type="gramEnd"/>
      <w:r w:rsidRPr="00BC44A3">
        <w:rPr>
          <w:sz w:val="24"/>
          <w:szCs w:val="24"/>
        </w:rPr>
        <w:t xml:space="preserve"> регламента № 384-ФЗ государственная экспертиза результатов инженерных изысканий и проектной документации, строительный контроль и государственный строительный надзор являются одними из форм оценки обязательной соответствия зданий и сооружений. Таким образом, стандарты организаций могут применяться при проведении государственной экспертизы, строительного контроля и государственного строительного надзора и других форм обязательной оценки соответствия требованиям технического регламента. </w:t>
      </w:r>
    </w:p>
    <w:p w:rsidR="00DD1594" w:rsidRPr="00BC44A3" w:rsidRDefault="00DD1594" w:rsidP="00DD1594">
      <w:pPr>
        <w:pStyle w:val="a3"/>
        <w:spacing w:after="0"/>
        <w:ind w:left="0" w:right="-1" w:firstLine="709"/>
        <w:jc w:val="both"/>
      </w:pPr>
      <w:r w:rsidRPr="00BC44A3">
        <w:t>В-третьих, единообразное применение стандартов СРО при выполнении однородных строительных работ требует унификации стандартов СРО. Это возможно обеспечить при условии, что для всей строительной отрасли стандарты на правила работ будут разрабатываться под эгидой одной организации, представляющей интересы всех строительных СРО. Такой организацией является Общероссийская негосударственная некоммерческая организация «Национальное объединение саморегулируемых организаций, основанных на членстве лиц, осуществляющих строительство» (далее – Национальное объединение СРО в области строительства), координирующее свою деятельность в области стандартизации с Национальными объединениями проектировщиков и изыскателей.</w:t>
      </w:r>
    </w:p>
    <w:p w:rsidR="00DD1594" w:rsidRPr="00BC44A3" w:rsidRDefault="00DD1594" w:rsidP="00DD1594">
      <w:pPr>
        <w:pStyle w:val="a3"/>
        <w:spacing w:after="0"/>
        <w:ind w:left="0" w:right="-1" w:firstLine="709"/>
        <w:jc w:val="both"/>
      </w:pPr>
      <w:r w:rsidRPr="00BC44A3">
        <w:t xml:space="preserve">Требование использования стандартов, включая стандарты организации, в качестве условия договоров подряда (контрактах) может иметь существенное значение для обеспечения безопасности, качества и </w:t>
      </w:r>
      <w:proofErr w:type="spellStart"/>
      <w:r w:rsidRPr="00BC44A3">
        <w:t>энергоэффективности</w:t>
      </w:r>
      <w:proofErr w:type="spellEnd"/>
      <w:r w:rsidRPr="00BC44A3">
        <w:t xml:space="preserve"> объектов капитального строительства в Республике Башкортостан, сооружаемых по республиканскому заказу.    </w:t>
      </w:r>
    </w:p>
    <w:p w:rsidR="00DD1594" w:rsidRPr="00BC44A3" w:rsidRDefault="00DD1594" w:rsidP="00DD1594">
      <w:pPr>
        <w:autoSpaceDE w:val="0"/>
        <w:autoSpaceDN w:val="0"/>
        <w:adjustRightInd w:val="0"/>
        <w:spacing w:after="0" w:line="240" w:lineRule="auto"/>
        <w:ind w:firstLine="708"/>
        <w:jc w:val="both"/>
        <w:rPr>
          <w:sz w:val="24"/>
          <w:szCs w:val="24"/>
        </w:rPr>
      </w:pPr>
      <w:r w:rsidRPr="00BC44A3">
        <w:rPr>
          <w:sz w:val="24"/>
          <w:szCs w:val="24"/>
        </w:rPr>
        <w:t xml:space="preserve">Следует учитывать, что положения Гражданского кодекса РФ о договоре строительного подряда и положения Федерального закона от </w:t>
      </w:r>
      <w:r w:rsidRPr="00BC44A3">
        <w:rPr>
          <w:sz w:val="24"/>
          <w:szCs w:val="24"/>
          <w:lang w:eastAsia="ru-RU"/>
        </w:rPr>
        <w:t xml:space="preserve">21 июля 2005 года </w:t>
      </w:r>
      <w:r w:rsidRPr="00BC44A3">
        <w:rPr>
          <w:sz w:val="24"/>
          <w:szCs w:val="24"/>
        </w:rPr>
        <w:t>№ 94-ФЗ «</w:t>
      </w:r>
      <w:r w:rsidRPr="00BC44A3">
        <w:rPr>
          <w:sz w:val="24"/>
          <w:szCs w:val="24"/>
          <w:lang w:eastAsia="ru-RU"/>
        </w:rPr>
        <w:t>О размещении заказов на поставки товаров, выполнение работ, оказание услуг для государственных и муниципальных нужд»</w:t>
      </w:r>
      <w:r w:rsidRPr="00BC44A3">
        <w:rPr>
          <w:sz w:val="24"/>
          <w:szCs w:val="24"/>
        </w:rPr>
        <w:t xml:space="preserve"> о конкурсной документации на право заключения договора строительного подряда предусматривают возможность установления требований по использованию стандартов при выполнении строительных работ, но при этом не предусматривают  преимущества национальных  стандартов  и сводов  правил перед стандартами организаций. </w:t>
      </w:r>
    </w:p>
    <w:p w:rsidR="00DD1594" w:rsidRPr="00BC44A3" w:rsidRDefault="00DD1594" w:rsidP="00DD1594">
      <w:pPr>
        <w:ind w:right="-142" w:firstLine="708"/>
        <w:jc w:val="both"/>
        <w:rPr>
          <w:sz w:val="24"/>
          <w:szCs w:val="24"/>
        </w:rPr>
      </w:pPr>
      <w:r w:rsidRPr="00BC44A3">
        <w:rPr>
          <w:bCs/>
          <w:sz w:val="24"/>
          <w:szCs w:val="24"/>
        </w:rPr>
        <w:t xml:space="preserve">Федеральный закон «О контрактной системе в сфере закупок товаров, работ и услуг для обеспечения государственных и муниципальных нужд» от 5 апреля 2013 г.  № 44-ФЗ также предусматривает нормирование требований в сфере закупок (статья 19), достаточных для обеспечения деятельности заказчиков. Заказчик при описании в документации о закупке объекта закупки должен руководствоваться следующими </w:t>
      </w:r>
      <w:proofErr w:type="gramStart"/>
      <w:r w:rsidRPr="00BC44A3">
        <w:rPr>
          <w:bCs/>
          <w:sz w:val="24"/>
          <w:szCs w:val="24"/>
        </w:rPr>
        <w:t>правилами:  использовать</w:t>
      </w:r>
      <w:proofErr w:type="gramEnd"/>
      <w:r w:rsidRPr="00BC44A3">
        <w:rPr>
          <w:bCs/>
          <w:sz w:val="24"/>
          <w:szCs w:val="24"/>
        </w:rPr>
        <w:t xml:space="preserve"> при составлении описания объекта закупки  требований технических регламентов и стандартов. В соответствии с указанным законом могут применяться как национальные стандарты, так и стандарты организаций, которые входят в соответствии со статьей 13 </w:t>
      </w:r>
      <w:r w:rsidRPr="00BC44A3">
        <w:rPr>
          <w:sz w:val="24"/>
          <w:szCs w:val="24"/>
        </w:rPr>
        <w:t>федерального закона «О техническом регулировании» в состав документов в области стандартизации.</w:t>
      </w:r>
    </w:p>
    <w:p w:rsidR="00DD1594" w:rsidRPr="00BC44A3" w:rsidRDefault="00DD1594" w:rsidP="00DD1594">
      <w:pPr>
        <w:ind w:right="-142" w:firstLine="708"/>
        <w:jc w:val="both"/>
        <w:rPr>
          <w:sz w:val="24"/>
          <w:szCs w:val="24"/>
        </w:rPr>
      </w:pPr>
      <w:r w:rsidRPr="00BC44A3">
        <w:rPr>
          <w:sz w:val="24"/>
          <w:szCs w:val="24"/>
        </w:rPr>
        <w:t>Таким образом, наличие в условиях договоров строительного подряда и условиях конкурсов на выполнение строительных работ для государственных и муниципальных нужд ссылок на требования стандартов, в том числе стандартов организации, полностью соответствует законодательству Российской Федерации.</w:t>
      </w:r>
    </w:p>
    <w:p w:rsidR="00DD1594" w:rsidRPr="00BC44A3" w:rsidRDefault="00DD1594" w:rsidP="00DD1594">
      <w:pPr>
        <w:spacing w:after="0" w:line="240" w:lineRule="auto"/>
        <w:jc w:val="both"/>
        <w:rPr>
          <w:sz w:val="24"/>
          <w:szCs w:val="24"/>
        </w:rPr>
      </w:pPr>
      <w:r w:rsidRPr="00BC44A3">
        <w:rPr>
          <w:sz w:val="24"/>
          <w:szCs w:val="24"/>
        </w:rPr>
        <w:t xml:space="preserve">Органы исполнительной власти субъектов Российской Федерации вправе применять предусмотренные  законодательством Российской Федерации документы в области стандартизации, в том числе  стандарты организации,  при формировании условий государственных контрактов для проведения торгов на выполнение строительных работ для государственных нужд, а также при проведении государственной экспертизы проектной документации, осуществлении строительного контроля заказчика и государственного </w:t>
      </w:r>
      <w:r w:rsidRPr="00BC44A3">
        <w:rPr>
          <w:sz w:val="24"/>
          <w:szCs w:val="24"/>
        </w:rPr>
        <w:lastRenderedPageBreak/>
        <w:t xml:space="preserve">строительного надзора в случае, если указанные рекомендации учтены в условиях государственного контракта.  </w:t>
      </w:r>
    </w:p>
    <w:p w:rsidR="00DD1594" w:rsidRPr="00BC44A3" w:rsidRDefault="00DD1594" w:rsidP="00DD1594">
      <w:pPr>
        <w:spacing w:after="0" w:line="240" w:lineRule="auto"/>
        <w:jc w:val="both"/>
        <w:rPr>
          <w:sz w:val="24"/>
          <w:szCs w:val="24"/>
        </w:rPr>
      </w:pPr>
    </w:p>
    <w:p w:rsidR="00DD1594" w:rsidRPr="00BC44A3" w:rsidRDefault="00DD1594" w:rsidP="00DD1594">
      <w:pPr>
        <w:spacing w:after="0" w:line="240" w:lineRule="auto"/>
        <w:jc w:val="both"/>
        <w:rPr>
          <w:sz w:val="24"/>
          <w:szCs w:val="24"/>
        </w:rPr>
      </w:pPr>
      <w:r w:rsidRPr="00BC44A3">
        <w:rPr>
          <w:sz w:val="24"/>
          <w:szCs w:val="24"/>
        </w:rPr>
        <w:t xml:space="preserve">Опыт применения стандартов организаций в качестве региональных методических документов в области строительства, применяемых при государственных закупках, закреплен в документах Правительства Москвы, Санкт-Петербурга и других субъектов Российской Федерации. Ссылки на стандарты организаций применяются также в документах ряда федеральных заказчиков – федеральных органов исполнительной власти. </w:t>
      </w:r>
    </w:p>
    <w:p w:rsidR="00DD1594" w:rsidRPr="00BC44A3" w:rsidRDefault="00DD1594" w:rsidP="00DD1594">
      <w:pPr>
        <w:spacing w:after="0" w:line="240" w:lineRule="auto"/>
        <w:ind w:firstLine="708"/>
        <w:jc w:val="both"/>
        <w:rPr>
          <w:sz w:val="24"/>
          <w:szCs w:val="24"/>
        </w:rPr>
      </w:pPr>
      <w:r w:rsidRPr="00BC44A3">
        <w:rPr>
          <w:sz w:val="24"/>
          <w:szCs w:val="24"/>
        </w:rPr>
        <w:t xml:space="preserve">На основании вышеизложенного предлагаем принять Постановление Правительства Республики Башкортостан, определяющее порядок применения </w:t>
      </w:r>
      <w:proofErr w:type="gramStart"/>
      <w:r w:rsidRPr="00BC44A3">
        <w:rPr>
          <w:sz w:val="24"/>
          <w:szCs w:val="24"/>
        </w:rPr>
        <w:t>стандартов  саморегулируемых</w:t>
      </w:r>
      <w:proofErr w:type="gramEnd"/>
      <w:r w:rsidRPr="00BC44A3">
        <w:rPr>
          <w:sz w:val="24"/>
          <w:szCs w:val="24"/>
        </w:rPr>
        <w:t xml:space="preserve"> организаций в области строительства при строительстве, реконструкции, капитальном ремонте объектов капитального строительства по государственному заказу для нужд Республики Башкортостан.   </w:t>
      </w:r>
    </w:p>
    <w:p w:rsidR="00DD1594" w:rsidRPr="00BC44A3" w:rsidRDefault="00DD1594" w:rsidP="00DD1594">
      <w:pPr>
        <w:spacing w:after="0" w:line="240" w:lineRule="auto"/>
        <w:ind w:firstLine="0"/>
        <w:jc w:val="both"/>
        <w:rPr>
          <w:sz w:val="24"/>
          <w:szCs w:val="24"/>
        </w:rPr>
      </w:pPr>
    </w:p>
    <w:p w:rsidR="00DD1594" w:rsidRPr="00BC44A3" w:rsidRDefault="00DD1594" w:rsidP="00DD1594">
      <w:pPr>
        <w:spacing w:after="0" w:line="240" w:lineRule="auto"/>
        <w:ind w:firstLine="0"/>
        <w:jc w:val="both"/>
        <w:rPr>
          <w:sz w:val="24"/>
          <w:szCs w:val="24"/>
        </w:rPr>
      </w:pPr>
    </w:p>
    <w:p w:rsidR="00DD1594" w:rsidRPr="00BC44A3" w:rsidRDefault="00DD1594" w:rsidP="00DD1594">
      <w:pPr>
        <w:spacing w:after="0" w:line="240" w:lineRule="auto"/>
        <w:ind w:firstLine="0"/>
        <w:jc w:val="both"/>
        <w:rPr>
          <w:sz w:val="24"/>
          <w:szCs w:val="24"/>
        </w:rPr>
      </w:pPr>
      <w:r w:rsidRPr="00BC44A3">
        <w:rPr>
          <w:sz w:val="24"/>
          <w:szCs w:val="24"/>
        </w:rPr>
        <w:t>Председатель Государственного комитета</w:t>
      </w:r>
    </w:p>
    <w:p w:rsidR="00DD1594" w:rsidRPr="00BC44A3" w:rsidRDefault="00DD1594" w:rsidP="00DD1594">
      <w:pPr>
        <w:spacing w:after="0" w:line="240" w:lineRule="auto"/>
        <w:ind w:firstLine="0"/>
        <w:jc w:val="both"/>
        <w:rPr>
          <w:sz w:val="24"/>
          <w:szCs w:val="24"/>
        </w:rPr>
      </w:pPr>
      <w:r w:rsidRPr="00BC44A3">
        <w:rPr>
          <w:sz w:val="24"/>
          <w:szCs w:val="24"/>
        </w:rPr>
        <w:t>Республики Башкортостан</w:t>
      </w:r>
    </w:p>
    <w:p w:rsidR="00DD1594" w:rsidRPr="00BC44A3" w:rsidRDefault="00DD1594" w:rsidP="00DD1594">
      <w:pPr>
        <w:spacing w:after="0" w:line="240" w:lineRule="auto"/>
        <w:ind w:firstLine="0"/>
        <w:jc w:val="both"/>
        <w:rPr>
          <w:sz w:val="24"/>
          <w:szCs w:val="24"/>
        </w:rPr>
      </w:pPr>
      <w:proofErr w:type="gramStart"/>
      <w:r w:rsidRPr="00BC44A3">
        <w:rPr>
          <w:sz w:val="24"/>
          <w:szCs w:val="24"/>
        </w:rPr>
        <w:t>по</w:t>
      </w:r>
      <w:proofErr w:type="gramEnd"/>
      <w:r w:rsidRPr="00BC44A3">
        <w:rPr>
          <w:sz w:val="24"/>
          <w:szCs w:val="24"/>
        </w:rPr>
        <w:t xml:space="preserve"> строительству и архитектуре                  </w:t>
      </w:r>
      <w:r w:rsidR="00BC44A3">
        <w:rPr>
          <w:sz w:val="24"/>
          <w:szCs w:val="24"/>
        </w:rPr>
        <w:tab/>
      </w:r>
      <w:r w:rsidR="00BC44A3">
        <w:rPr>
          <w:sz w:val="24"/>
          <w:szCs w:val="24"/>
        </w:rPr>
        <w:tab/>
      </w:r>
      <w:r w:rsidR="00BC44A3">
        <w:rPr>
          <w:sz w:val="24"/>
          <w:szCs w:val="24"/>
        </w:rPr>
        <w:tab/>
      </w:r>
      <w:r w:rsidR="00BC44A3">
        <w:rPr>
          <w:sz w:val="24"/>
          <w:szCs w:val="24"/>
        </w:rPr>
        <w:tab/>
      </w:r>
      <w:bookmarkStart w:id="0" w:name="_GoBack"/>
      <w:bookmarkEnd w:id="0"/>
      <w:r w:rsidRPr="00BC44A3">
        <w:rPr>
          <w:sz w:val="24"/>
          <w:szCs w:val="24"/>
        </w:rPr>
        <w:t xml:space="preserve">     К.А. Мансуров</w:t>
      </w:r>
    </w:p>
    <w:p w:rsidR="00DD1594" w:rsidRPr="00BC44A3" w:rsidRDefault="00DD1594" w:rsidP="00DD1594">
      <w:pPr>
        <w:rPr>
          <w:sz w:val="24"/>
          <w:szCs w:val="24"/>
        </w:rPr>
      </w:pPr>
    </w:p>
    <w:p w:rsidR="00B73AEE" w:rsidRPr="00BC44A3" w:rsidRDefault="00BC44A3" w:rsidP="00DD1594">
      <w:pPr>
        <w:jc w:val="both"/>
        <w:rPr>
          <w:sz w:val="24"/>
          <w:szCs w:val="24"/>
        </w:rPr>
      </w:pPr>
    </w:p>
    <w:sectPr w:rsidR="00B73AEE" w:rsidRPr="00BC44A3" w:rsidSect="00F016F5">
      <w:pgSz w:w="11906" w:h="16838"/>
      <w:pgMar w:top="851" w:right="850"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Petersburg-Regular">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594"/>
    <w:rsid w:val="00706CCD"/>
    <w:rsid w:val="00A162B1"/>
    <w:rsid w:val="00BC44A3"/>
    <w:rsid w:val="00DD1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D07A7-518F-4BE2-8547-946C105F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594"/>
    <w:pPr>
      <w:spacing w:after="200" w:line="276" w:lineRule="auto"/>
      <w:ind w:firstLine="709"/>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DD1594"/>
    <w:pPr>
      <w:spacing w:after="120" w:line="240" w:lineRule="auto"/>
      <w:ind w:left="283" w:firstLine="0"/>
    </w:pPr>
    <w:rPr>
      <w:rFonts w:eastAsia="Times New Roman"/>
      <w:sz w:val="24"/>
      <w:szCs w:val="24"/>
      <w:lang w:eastAsia="ru-RU"/>
    </w:rPr>
  </w:style>
  <w:style w:type="character" w:customStyle="1" w:styleId="a4">
    <w:name w:val="Основной текст с отступом Знак"/>
    <w:basedOn w:val="a0"/>
    <w:link w:val="a3"/>
    <w:semiHidden/>
    <w:rsid w:val="00DD1594"/>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C44A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C44A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1303</Words>
  <Characters>7432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Пугачев Сергей Васильевич</dc:creator>
  <cp:keywords/>
  <dc:description/>
  <cp:lastModifiedBy>Пугачев Сергей Васильевич</cp:lastModifiedBy>
  <cp:revision>2</cp:revision>
  <cp:lastPrinted>2014-04-01T05:42:00Z</cp:lastPrinted>
  <dcterms:created xsi:type="dcterms:W3CDTF">2014-03-17T12:11:00Z</dcterms:created>
  <dcterms:modified xsi:type="dcterms:W3CDTF">2014-04-01T05:42:00Z</dcterms:modified>
</cp:coreProperties>
</file>