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3A" w:rsidRPr="00EB40F3" w:rsidRDefault="0038103A" w:rsidP="0038103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B40F3">
        <w:rPr>
          <w:rFonts w:ascii="Times New Roman" w:hAnsi="Times New Roman"/>
          <w:b/>
          <w:sz w:val="28"/>
          <w:szCs w:val="28"/>
        </w:rPr>
        <w:t xml:space="preserve">Методика оценки стоимости разработки, пересмотра и внесения изменений в стандарты или рекомендации Объединения </w:t>
      </w:r>
    </w:p>
    <w:p w:rsidR="0038103A" w:rsidRDefault="0038103A" w:rsidP="0038103A">
      <w:pPr>
        <w:jc w:val="both"/>
        <w:rPr>
          <w:rFonts w:ascii="Times New Roman" w:hAnsi="Times New Roman"/>
          <w:sz w:val="28"/>
          <w:szCs w:val="28"/>
        </w:rPr>
      </w:pP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 Настоящая методика регламентирует предварительную оценку стоимости разработки, пересмотра и изменений стандартов или рекомендаций Объединения (далее – стандарты или рекомендации), включая работы по проведению экспертизы проектов документов.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 Оценка стоимости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 w:cs="Arial"/>
          <w:i/>
          <w:iCs/>
          <w:sz w:val="28"/>
          <w:szCs w:val="28"/>
          <w:vertAlign w:val="subscript"/>
        </w:rPr>
        <w:t>ст</w:t>
      </w:r>
      <w:proofErr w:type="spellEnd"/>
      <w:r w:rsidRPr="00EB40F3">
        <w:rPr>
          <w:rFonts w:ascii="Times New Roman" w:hAnsi="Times New Roman" w:cs="Arial"/>
          <w:iCs/>
          <w:sz w:val="28"/>
          <w:szCs w:val="28"/>
        </w:rPr>
        <w:t xml:space="preserve">, руб., </w:t>
      </w:r>
      <w:r w:rsidRPr="00EB40F3">
        <w:rPr>
          <w:rFonts w:ascii="Times New Roman" w:hAnsi="Times New Roman"/>
          <w:sz w:val="28"/>
          <w:szCs w:val="28"/>
        </w:rPr>
        <w:t>вновь разрабатываемых стандартов или рекомендаций, а также их пересмотра и внесения в них изменений, вычисляется по формуле: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 w:cs="Arial"/>
          <w:i/>
          <w:iCs/>
          <w:sz w:val="28"/>
          <w:szCs w:val="28"/>
          <w:vertAlign w:val="subscript"/>
        </w:rPr>
        <w:t>ст</w:t>
      </w:r>
      <w:r w:rsidRPr="00EB40F3">
        <w:rPr>
          <w:rFonts w:ascii="Times New Roman" w:hAnsi="Times New Roman" w:cs="Arial"/>
          <w:i/>
          <w:iCs/>
          <w:sz w:val="28"/>
          <w:szCs w:val="28"/>
        </w:rPr>
        <w:t>=</w:t>
      </w:r>
      <w:proofErr w:type="spellEnd"/>
      <w:r w:rsidRPr="00EB40F3">
        <w:rPr>
          <w:rFonts w:ascii="Times New Roman" w:hAnsi="Times New Roman" w:cs="Arial"/>
          <w:i/>
          <w:iCs/>
          <w:sz w:val="28"/>
          <w:szCs w:val="28"/>
        </w:rPr>
        <w:t xml:space="preserve"> </w:t>
      </w:r>
      <w:proofErr w:type="spellStart"/>
      <w:r w:rsidRPr="00EB40F3">
        <w:rPr>
          <w:rFonts w:ascii="Times New Roman" w:hAnsi="Times New Roman" w:cs="Arial"/>
          <w:i/>
          <w:iCs/>
          <w:sz w:val="28"/>
          <w:szCs w:val="28"/>
        </w:rPr>
        <w:t>Т</w:t>
      </w:r>
      <w:r w:rsidRPr="00EB40F3">
        <w:rPr>
          <w:rFonts w:ascii="Times New Roman" w:hAnsi="Times New Roman" w:cs="Arial"/>
          <w:i/>
          <w:iCs/>
          <w:sz w:val="28"/>
          <w:szCs w:val="28"/>
          <w:vertAlign w:val="subscript"/>
        </w:rPr>
        <w:t>ст</w:t>
      </w:r>
      <w:proofErr w:type="spellEnd"/>
      <w:r w:rsidRPr="00EB40F3">
        <w:rPr>
          <w:rFonts w:ascii="Times New Roman" w:hAnsi="Times New Roman" w:cs="Arial"/>
          <w:iCs/>
          <w:sz w:val="28"/>
          <w:szCs w:val="28"/>
        </w:rPr>
        <w:t>(1+</w:t>
      </w:r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о</w:t>
      </w:r>
      <w:r w:rsidRPr="00EB40F3">
        <w:rPr>
          <w:rFonts w:ascii="Times New Roman" w:hAnsi="Times New Roman"/>
          <w:sz w:val="28"/>
          <w:szCs w:val="28"/>
        </w:rPr>
        <w:t>+</w:t>
      </w:r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sz w:val="28"/>
          <w:szCs w:val="28"/>
          <w:vertAlign w:val="subscript"/>
        </w:rPr>
        <w:t>к.р</w:t>
      </w:r>
      <w:r w:rsidRPr="00EB40F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З</w:t>
      </w:r>
      <w:r w:rsidRPr="00EB40F3">
        <w:rPr>
          <w:rFonts w:ascii="Times New Roman" w:hAnsi="Times New Roman"/>
          <w:sz w:val="28"/>
          <w:szCs w:val="28"/>
          <w:vertAlign w:val="subscript"/>
        </w:rPr>
        <w:t>с.д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, </w:t>
      </w:r>
    </w:p>
    <w:p w:rsidR="0038103A" w:rsidRPr="00EB40F3" w:rsidRDefault="0038103A" w:rsidP="0038103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sz w:val="28"/>
          <w:szCs w:val="28"/>
        </w:rPr>
        <w:t>где</w:t>
      </w:r>
      <w:r w:rsidRPr="00EB40F3">
        <w:rPr>
          <w:rFonts w:ascii="Times New Roman" w:hAnsi="Times New Roman" w:cs="Arial"/>
          <w:i/>
          <w:iCs/>
          <w:sz w:val="28"/>
          <w:szCs w:val="28"/>
        </w:rPr>
        <w:t>Т</w:t>
      </w:r>
      <w:r w:rsidRPr="00EB40F3">
        <w:rPr>
          <w:rFonts w:ascii="Times New Roman" w:hAnsi="Times New Roman" w:cs="Arial"/>
          <w:i/>
          <w:iCs/>
          <w:sz w:val="28"/>
          <w:szCs w:val="28"/>
          <w:vertAlign w:val="subscript"/>
        </w:rPr>
        <w:t>ст</w:t>
      </w:r>
      <w:proofErr w:type="spellEnd"/>
      <w:r w:rsidRPr="00EB40F3">
        <w:rPr>
          <w:rFonts w:ascii="Times New Roman" w:hAnsi="Times New Roman" w:cs="Arial"/>
          <w:iCs/>
          <w:sz w:val="28"/>
          <w:szCs w:val="28"/>
        </w:rPr>
        <w:t xml:space="preserve">- </w:t>
      </w:r>
      <w:r w:rsidRPr="00EB40F3">
        <w:rPr>
          <w:rFonts w:ascii="Times New Roman" w:hAnsi="Times New Roman"/>
          <w:sz w:val="28"/>
          <w:szCs w:val="28"/>
        </w:rPr>
        <w:t xml:space="preserve">оценка общей трудоемкости разработки стандарта или рекомендаций, </w:t>
      </w:r>
      <w:proofErr w:type="spellStart"/>
      <w:r w:rsidRPr="00EB40F3">
        <w:rPr>
          <w:rFonts w:ascii="Times New Roman" w:hAnsi="Times New Roman"/>
          <w:sz w:val="28"/>
          <w:szCs w:val="28"/>
        </w:rPr>
        <w:t>чел.мес</w:t>
      </w:r>
      <w:proofErr w:type="spellEnd"/>
      <w:r w:rsidRPr="00EB40F3">
        <w:rPr>
          <w:rFonts w:ascii="Times New Roman" w:hAnsi="Times New Roman"/>
          <w:sz w:val="28"/>
          <w:szCs w:val="28"/>
        </w:rPr>
        <w:t>.;</w:t>
      </w:r>
    </w:p>
    <w:p w:rsidR="0038103A" w:rsidRPr="00EB40F3" w:rsidRDefault="0038103A" w:rsidP="0038103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о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- установленный действующими нормативными актами норматив отчислений от фонда заработной платы;</w:t>
      </w:r>
    </w:p>
    <w:p w:rsidR="0038103A" w:rsidRPr="00EB40F3" w:rsidRDefault="0038103A" w:rsidP="0038103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sz w:val="28"/>
          <w:szCs w:val="28"/>
          <w:vertAlign w:val="subscript"/>
        </w:rPr>
        <w:t>к.р</w:t>
      </w:r>
      <w:proofErr w:type="spellEnd"/>
      <w:r w:rsidRPr="00EB40F3">
        <w:rPr>
          <w:rFonts w:ascii="Times New Roman" w:hAnsi="Times New Roman"/>
          <w:sz w:val="28"/>
          <w:szCs w:val="28"/>
        </w:rPr>
        <w:t>- коэффициент косвенных расходов организации, осуществляющей разработку;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З</w:t>
      </w:r>
      <w:r w:rsidRPr="00EB40F3">
        <w:rPr>
          <w:rFonts w:ascii="Times New Roman" w:hAnsi="Times New Roman"/>
          <w:sz w:val="28"/>
          <w:szCs w:val="28"/>
          <w:vertAlign w:val="subscript"/>
        </w:rPr>
        <w:t>с.д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– среднемесячная заработная плата специалистов, участвующих в разработке стандарта </w:t>
      </w:r>
      <w:r>
        <w:rPr>
          <w:rFonts w:ascii="Times New Roman" w:hAnsi="Times New Roman"/>
          <w:sz w:val="28"/>
          <w:szCs w:val="28"/>
        </w:rPr>
        <w:t>или рекомендации</w:t>
      </w:r>
      <w:r w:rsidRPr="00EB40F3">
        <w:rPr>
          <w:rFonts w:ascii="Times New Roman" w:hAnsi="Times New Roman"/>
          <w:sz w:val="28"/>
          <w:szCs w:val="28"/>
        </w:rPr>
        <w:t>, руб.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 Оценка общей трудоемкости разработки стандарта или </w:t>
      </w:r>
      <w:proofErr w:type="spellStart"/>
      <w:r w:rsidRPr="00EB40F3">
        <w:rPr>
          <w:rFonts w:ascii="Times New Roman" w:hAnsi="Times New Roman"/>
          <w:sz w:val="28"/>
          <w:szCs w:val="28"/>
        </w:rPr>
        <w:t>рекомендаций</w:t>
      </w:r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ст</w:t>
      </w:r>
      <w:proofErr w:type="spellEnd"/>
      <w:r w:rsidRPr="00EB40F3">
        <w:rPr>
          <w:rFonts w:ascii="Times New Roman" w:hAnsi="Times New Roman"/>
          <w:sz w:val="28"/>
          <w:szCs w:val="28"/>
        </w:rPr>
        <w:t>, чел./</w:t>
      </w:r>
      <w:proofErr w:type="spellStart"/>
      <w:r w:rsidRPr="00EB40F3">
        <w:rPr>
          <w:rFonts w:ascii="Times New Roman" w:hAnsi="Times New Roman"/>
          <w:sz w:val="28"/>
          <w:szCs w:val="28"/>
        </w:rPr>
        <w:t>мес</w:t>
      </w:r>
      <w:proofErr w:type="spellEnd"/>
      <w:r w:rsidRPr="00EB40F3">
        <w:rPr>
          <w:rFonts w:ascii="Times New Roman" w:hAnsi="Times New Roman"/>
          <w:sz w:val="28"/>
          <w:szCs w:val="28"/>
        </w:rPr>
        <w:t>, осуществляется в соответствии с выражением: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ст</w:t>
      </w:r>
      <w:proofErr w:type="spellEnd"/>
      <w:r w:rsidRPr="00EB40F3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б.н</w:t>
      </w:r>
      <w:proofErr w:type="spellEnd"/>
      <w:r w:rsidRPr="006A0F7D">
        <w:rPr>
          <w:rFonts w:ascii="Times New Roman" w:hAnsi="Times New Roman"/>
          <w:i/>
          <w:sz w:val="28"/>
          <w:szCs w:val="28"/>
        </w:rPr>
        <w:t xml:space="preserve">× </w:t>
      </w:r>
      <w:proofErr w:type="spellStart"/>
      <w:r w:rsidRPr="006A0F7D">
        <w:rPr>
          <w:rFonts w:ascii="Times New Roman" w:hAnsi="Times New Roman"/>
          <w:i/>
          <w:sz w:val="28"/>
          <w:szCs w:val="28"/>
        </w:rPr>
        <w:t>q</w:t>
      </w:r>
      <w:r w:rsidRPr="006A0F7D">
        <w:rPr>
          <w:rFonts w:ascii="Times New Roman" w:hAnsi="Times New Roman"/>
          <w:i/>
          <w:sz w:val="28"/>
          <w:szCs w:val="28"/>
          <w:vertAlign w:val="subscript"/>
        </w:rPr>
        <w:t>сл</w:t>
      </w:r>
      <w:r w:rsidRPr="00EB40F3">
        <w:rPr>
          <w:rFonts w:ascii="Times New Roman" w:hAnsi="Times New Roman"/>
          <w:i/>
          <w:sz w:val="28"/>
          <w:szCs w:val="28"/>
        </w:rPr>
        <w:t>×q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c</w:t>
      </w:r>
      <w:proofErr w:type="spellEnd"/>
      <w:r w:rsidRPr="00EB40F3">
        <w:rPr>
          <w:rFonts w:ascii="Times New Roman" w:hAnsi="Times New Roman"/>
          <w:sz w:val="28"/>
          <w:szCs w:val="28"/>
        </w:rPr>
        <w:t>,</w:t>
      </w:r>
    </w:p>
    <w:p w:rsidR="0038103A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sz w:val="28"/>
          <w:szCs w:val="28"/>
        </w:rPr>
        <w:t>где</w:t>
      </w:r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б.н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- базовый норматив трудоемкости разработки стандарта (рекомендации), </w:t>
      </w:r>
      <w:proofErr w:type="spellStart"/>
      <w:r w:rsidRPr="00EB40F3">
        <w:rPr>
          <w:rFonts w:ascii="Times New Roman" w:hAnsi="Times New Roman"/>
          <w:sz w:val="28"/>
          <w:szCs w:val="28"/>
        </w:rPr>
        <w:t>чел.-мес</w:t>
      </w:r>
      <w:proofErr w:type="spellEnd"/>
      <w:r w:rsidRPr="00EB40F3">
        <w:rPr>
          <w:rFonts w:ascii="Times New Roman" w:hAnsi="Times New Roman"/>
          <w:sz w:val="28"/>
          <w:szCs w:val="28"/>
        </w:rPr>
        <w:t>;</w:t>
      </w:r>
    </w:p>
    <w:p w:rsidR="0038103A" w:rsidRPr="00933CC0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33CC0">
        <w:rPr>
          <w:rFonts w:ascii="Times New Roman" w:hAnsi="Times New Roman"/>
          <w:i/>
          <w:sz w:val="28"/>
          <w:szCs w:val="28"/>
        </w:rPr>
        <w:t>q</w:t>
      </w:r>
      <w:r w:rsidRPr="00933CC0">
        <w:rPr>
          <w:rFonts w:ascii="Times New Roman" w:hAnsi="Times New Roman"/>
          <w:i/>
          <w:sz w:val="28"/>
          <w:szCs w:val="28"/>
          <w:vertAlign w:val="subscript"/>
        </w:rPr>
        <w:t>сл</w:t>
      </w:r>
      <w:proofErr w:type="spellEnd"/>
      <w:r w:rsidRPr="00933CC0">
        <w:rPr>
          <w:rFonts w:ascii="Times New Roman" w:hAnsi="Times New Roman"/>
          <w:sz w:val="28"/>
          <w:szCs w:val="28"/>
        </w:rPr>
        <w:t xml:space="preserve"> - коэффициент сложности разработки стандарта; 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c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- коэффициент, учитывающий число страниц стандарта (рекомендации).</w:t>
      </w:r>
    </w:p>
    <w:p w:rsidR="0038103A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.3.1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 Исходные показатели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б.н</w:t>
      </w:r>
      <w:r>
        <w:rPr>
          <w:rFonts w:ascii="Times New Roman" w:hAnsi="Times New Roman"/>
          <w:sz w:val="28"/>
          <w:szCs w:val="28"/>
        </w:rPr>
        <w:t>и</w:t>
      </w:r>
      <w:r w:rsidRPr="00933CC0">
        <w:rPr>
          <w:rFonts w:ascii="Times New Roman" w:hAnsi="Times New Roman"/>
          <w:i/>
          <w:sz w:val="28"/>
          <w:szCs w:val="28"/>
        </w:rPr>
        <w:t>q</w:t>
      </w:r>
      <w:r w:rsidRPr="00933CC0">
        <w:rPr>
          <w:rFonts w:ascii="Times New Roman" w:hAnsi="Times New Roman"/>
          <w:i/>
          <w:sz w:val="28"/>
          <w:szCs w:val="28"/>
          <w:vertAlign w:val="subscript"/>
        </w:rPr>
        <w:t>сл</w:t>
      </w:r>
      <w:r w:rsidRPr="00933CC0">
        <w:rPr>
          <w:rFonts w:ascii="Times New Roman" w:hAnsi="Times New Roman"/>
          <w:sz w:val="28"/>
          <w:szCs w:val="28"/>
        </w:rPr>
        <w:t>,</w:t>
      </w:r>
      <w:r w:rsidRPr="00EB40F3">
        <w:rPr>
          <w:rFonts w:ascii="Times New Roman" w:hAnsi="Times New Roman"/>
          <w:sz w:val="28"/>
          <w:szCs w:val="28"/>
        </w:rPr>
        <w:t>используемые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при расчете трудоемкости разрабатываемого стандарта или рекомендации, выбирают из таблицы </w:t>
      </w: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</w:p>
    <w:p w:rsidR="0038103A" w:rsidRDefault="0038103A" w:rsidP="0038103A">
      <w:pPr>
        <w:jc w:val="both"/>
        <w:rPr>
          <w:rFonts w:ascii="Times New Roman" w:hAnsi="Times New Roman"/>
          <w:sz w:val="28"/>
          <w:szCs w:val="28"/>
        </w:rPr>
      </w:pPr>
    </w:p>
    <w:p w:rsidR="0038103A" w:rsidRDefault="0038103A" w:rsidP="0038103A">
      <w:pPr>
        <w:jc w:val="both"/>
        <w:rPr>
          <w:rFonts w:ascii="Times New Roman" w:hAnsi="Times New Roman"/>
          <w:sz w:val="28"/>
          <w:szCs w:val="28"/>
        </w:rPr>
      </w:pPr>
    </w:p>
    <w:p w:rsidR="0038103A" w:rsidRDefault="0038103A" w:rsidP="0038103A">
      <w:pPr>
        <w:jc w:val="both"/>
        <w:rPr>
          <w:rFonts w:ascii="Times New Roman" w:hAnsi="Times New Roman"/>
          <w:sz w:val="28"/>
          <w:szCs w:val="28"/>
        </w:rPr>
      </w:pPr>
    </w:p>
    <w:p w:rsidR="0038103A" w:rsidRDefault="0038103A" w:rsidP="0038103A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В.1</w:t>
      </w:r>
    </w:p>
    <w:tbl>
      <w:tblPr>
        <w:tblW w:w="9037" w:type="dxa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3261"/>
        <w:gridCol w:w="1134"/>
        <w:gridCol w:w="1240"/>
        <w:gridCol w:w="35"/>
        <w:gridCol w:w="1807"/>
        <w:gridCol w:w="36"/>
        <w:gridCol w:w="1524"/>
      </w:tblGrid>
      <w:tr w:rsidR="0038103A" w:rsidTr="0065667A"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стандарта 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Базовый норматив трудоемкости </w:t>
            </w:r>
            <w:r>
              <w:rPr>
                <w:noProof/>
                <w:color w:val="000000"/>
                <w:position w:val="-12"/>
              </w:rPr>
              <w:drawing>
                <wp:inline distT="0" distB="0" distL="0" distR="0">
                  <wp:extent cx="273050" cy="231775"/>
                  <wp:effectExtent l="19050" t="0" r="0" b="0"/>
                  <wp:docPr id="1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, чел./</w:t>
            </w:r>
            <w:proofErr w:type="spellStart"/>
            <w:r>
              <w:rPr>
                <w:color w:val="000000"/>
              </w:rPr>
              <w:t>мес</w:t>
            </w:r>
            <w:proofErr w:type="spellEnd"/>
          </w:p>
        </w:tc>
        <w:tc>
          <w:tcPr>
            <w:tcW w:w="46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Значение коэффициента сложности </w:t>
            </w:r>
            <w:r>
              <w:rPr>
                <w:noProof/>
                <w:color w:val="000000"/>
                <w:position w:val="-12"/>
              </w:rPr>
              <w:drawing>
                <wp:inline distT="0" distB="0" distL="0" distR="0">
                  <wp:extent cx="231775" cy="231775"/>
                  <wp:effectExtent l="19050" t="0" r="0" b="0"/>
                  <wp:docPr id="2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03A" w:rsidTr="0065667A"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начальное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промежуточное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конечное</w:t>
            </w:r>
          </w:p>
        </w:tc>
      </w:tr>
      <w:tr w:rsidR="0038103A" w:rsidTr="0065667A">
        <w:tc>
          <w:tcPr>
            <w:tcW w:w="90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Основополагающие организационно-методические, общетехнические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Термины и определения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20,0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1,31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Обозначения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19,0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1,31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Общие (основные) положения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19,0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1,31</w:t>
            </w:r>
          </w:p>
        </w:tc>
      </w:tr>
      <w:tr w:rsidR="0038103A" w:rsidTr="0065667A">
        <w:trPr>
          <w:trHeight w:val="590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 построения и изложения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1,27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1,45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порядок (правила)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18,0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1,27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1,43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Методы (методики)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19,6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1,17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1,48</w:t>
            </w:r>
          </w:p>
        </w:tc>
      </w:tr>
      <w:tr w:rsidR="0038103A" w:rsidTr="0065667A">
        <w:trPr>
          <w:trHeight w:val="574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Общие требования и нормы, величины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19,4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1,27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1,43</w:t>
            </w:r>
          </w:p>
        </w:tc>
      </w:tr>
      <w:tr w:rsidR="0038103A" w:rsidTr="0065667A">
        <w:trPr>
          <w:trHeight w:val="472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Типовые технологические процессы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17,8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1,15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1,27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1,41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Номенклатура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18,1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1,13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1,35</w:t>
            </w:r>
          </w:p>
        </w:tc>
      </w:tr>
      <w:tr w:rsidR="0038103A" w:rsidTr="0065667A">
        <w:tc>
          <w:tcPr>
            <w:tcW w:w="90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Стандарты на продукцию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Общие технические условия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1,25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1,6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Общие технические требования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1,21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1,39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1,57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Параметры и размеры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1,40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Типы, виды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1,15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1,28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1,41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Конструкции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1,29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1,40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1,50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Сортамент, марки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1,29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1,42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 приемки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1,55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Маркировка, упаковка, транспортирование и хранение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1,16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1,43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 эксплуатации и ремонта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1,22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1,37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6D3228" w:rsidRDefault="0038103A" w:rsidP="00656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D3228">
              <w:rPr>
                <w:color w:val="000000"/>
              </w:rPr>
              <w:t>1,53</w:t>
            </w:r>
          </w:p>
        </w:tc>
      </w:tr>
      <w:tr w:rsidR="0038103A" w:rsidTr="0065667A">
        <w:tc>
          <w:tcPr>
            <w:tcW w:w="90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Стандарты на процессы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Общие (основные) требования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17,0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EA3F4B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EA3F4B">
              <w:rPr>
                <w:color w:val="000000"/>
              </w:rPr>
              <w:t>1,21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EA3F4B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EA3F4B">
              <w:rPr>
                <w:color w:val="000000"/>
              </w:rPr>
              <w:t>1,38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EA3F4B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EA3F4B">
              <w:rPr>
                <w:color w:val="000000"/>
              </w:rPr>
              <w:t>1,55</w:t>
            </w:r>
          </w:p>
        </w:tc>
      </w:tr>
      <w:tr w:rsidR="0038103A" w:rsidTr="0065667A">
        <w:tc>
          <w:tcPr>
            <w:tcW w:w="90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Стандарты на методы контроля (испытаний, измерений, анализа)</w:t>
            </w:r>
          </w:p>
        </w:tc>
      </w:tr>
      <w:tr w:rsidR="0038103A" w:rsidTr="0065667A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Методы (методики) контроля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EA3F4B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EA3F4B">
              <w:rPr>
                <w:color w:val="000000"/>
              </w:rPr>
              <w:t>1,17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EA3F4B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EA3F4B">
              <w:rPr>
                <w:color w:val="000000"/>
              </w:rPr>
              <w:t>1,33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Pr="00EA3F4B" w:rsidRDefault="0038103A" w:rsidP="0065667A">
            <w:pPr>
              <w:spacing w:after="0"/>
              <w:jc w:val="center"/>
              <w:rPr>
                <w:color w:val="000000"/>
              </w:rPr>
            </w:pPr>
            <w:r w:rsidRPr="00EA3F4B">
              <w:rPr>
                <w:color w:val="000000"/>
              </w:rPr>
              <w:t>1,5</w:t>
            </w:r>
          </w:p>
        </w:tc>
      </w:tr>
      <w:tr w:rsidR="0038103A" w:rsidTr="0065667A">
        <w:tc>
          <w:tcPr>
            <w:tcW w:w="90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103A" w:rsidRDefault="0038103A" w:rsidP="0065667A">
            <w:pPr>
              <w:spacing w:after="0" w:line="240" w:lineRule="auto"/>
              <w:ind w:firstLine="44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Примечания </w:t>
            </w:r>
          </w:p>
          <w:p w:rsidR="0038103A" w:rsidRDefault="0038103A" w:rsidP="0065667A">
            <w:pPr>
              <w:spacing w:after="0" w:line="240" w:lineRule="auto"/>
              <w:ind w:firstLine="44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Значения базового норматива трудоемкости </w:t>
            </w:r>
            <w:r>
              <w:rPr>
                <w:noProof/>
                <w:color w:val="000000"/>
                <w:position w:val="-12"/>
              </w:rPr>
              <w:drawing>
                <wp:inline distT="0" distB="0" distL="0" distR="0">
                  <wp:extent cx="273050" cy="231775"/>
                  <wp:effectExtent l="19050" t="0" r="0" b="0"/>
                  <wp:docPr id="7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, приведены из рекомендаций по стандартизации </w:t>
            </w:r>
            <w:r w:rsidRPr="00847980">
              <w:rPr>
                <w:color w:val="000000"/>
              </w:rPr>
              <w:t>Р 50.1.058-2011 «Методика оценки стоимости разработки и экспертизы национальных стандартов Российской Федерации»</w:t>
            </w:r>
            <w:r>
              <w:rPr>
                <w:color w:val="000000"/>
              </w:rPr>
              <w:t xml:space="preserve"> (таблица А.3).</w:t>
            </w:r>
          </w:p>
          <w:p w:rsidR="0038103A" w:rsidRDefault="0038103A" w:rsidP="0065667A">
            <w:pPr>
              <w:spacing w:after="0" w:line="240" w:lineRule="auto"/>
              <w:ind w:firstLine="44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Значение коэффициента сложности </w:t>
            </w:r>
            <w:r>
              <w:rPr>
                <w:noProof/>
                <w:color w:val="000000"/>
                <w:position w:val="-12"/>
              </w:rPr>
              <w:drawing>
                <wp:inline distT="0" distB="0" distL="0" distR="0">
                  <wp:extent cx="231775" cy="231775"/>
                  <wp:effectExtent l="19050" t="0" r="0" b="0"/>
                  <wp:docPr id="8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может быть:</w:t>
            </w:r>
          </w:p>
          <w:p w:rsidR="0038103A" w:rsidRDefault="0038103A" w:rsidP="0065667A">
            <w:pPr>
              <w:spacing w:after="0" w:line="240" w:lineRule="auto"/>
              <w:ind w:firstLine="522"/>
              <w:jc w:val="both"/>
              <w:rPr>
                <w:color w:val="000000"/>
              </w:rPr>
            </w:pPr>
            <w:r>
              <w:rPr>
                <w:color w:val="000000"/>
              </w:rPr>
              <w:t>- начальным (предусматривает до пяти стандартизуемых показателей и до 10 организаций, которым документ рассылают на отзыв);</w:t>
            </w:r>
          </w:p>
          <w:p w:rsidR="0038103A" w:rsidRDefault="0038103A" w:rsidP="0065667A">
            <w:pPr>
              <w:spacing w:after="0" w:line="240" w:lineRule="auto"/>
              <w:ind w:firstLine="522"/>
              <w:jc w:val="both"/>
              <w:rPr>
                <w:color w:val="000000"/>
              </w:rPr>
            </w:pPr>
            <w:r>
              <w:rPr>
                <w:color w:val="000000"/>
              </w:rPr>
              <w:t>- промежуточным (предусматривает не более 15 стандартизуемых показателей и не более 20 организаций, которым документ рассылают на отзыв);</w:t>
            </w:r>
          </w:p>
          <w:p w:rsidR="0038103A" w:rsidRDefault="0038103A" w:rsidP="0065667A">
            <w:pPr>
              <w:spacing w:after="0" w:line="240" w:lineRule="auto"/>
              <w:ind w:firstLine="52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 конечным (предусматривает более 15 стандартизуемых показателей и более 20 организаций, которым документ рассылается на отзыв, а также принципиально новые научные решения и требования, разработку документа с учетом международного стандарта, дополненного специфическими требованиями к объекту стандартизации). </w:t>
            </w:r>
          </w:p>
        </w:tc>
      </w:tr>
    </w:tbl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EB40F3">
        <w:rPr>
          <w:rFonts w:ascii="Times New Roman" w:hAnsi="Times New Roman"/>
          <w:sz w:val="28"/>
          <w:szCs w:val="28"/>
        </w:rPr>
        <w:t>.3.2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 Коэффициент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sz w:val="28"/>
          <w:szCs w:val="28"/>
          <w:vertAlign w:val="subscript"/>
        </w:rPr>
        <w:t>c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, учитывающий число страниц (формат А4, в формате </w:t>
      </w:r>
      <w:proofErr w:type="spellStart"/>
      <w:r w:rsidRPr="00EB40F3">
        <w:rPr>
          <w:rFonts w:ascii="Times New Roman" w:hAnsi="Times New Roman"/>
          <w:sz w:val="28"/>
          <w:szCs w:val="28"/>
        </w:rPr>
        <w:t>Word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- шрифт 14) разрабатываемого стандарта или рекомендации, принимается: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sz w:val="28"/>
          <w:szCs w:val="28"/>
          <w:vertAlign w:val="subscript"/>
        </w:rPr>
        <w:t>c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= 1,04 - при числе страниц до 30;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sz w:val="28"/>
          <w:szCs w:val="28"/>
          <w:vertAlign w:val="subscript"/>
        </w:rPr>
        <w:t>c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= 1,2 - при числе страниц до 70;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sz w:val="28"/>
          <w:szCs w:val="28"/>
          <w:vertAlign w:val="subscript"/>
        </w:rPr>
        <w:t>c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= 1,5 - при числе страниц более 70.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 Стоимость работ по проведению экспертизы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в рублях определяют по формуле:</w:t>
      </w:r>
    </w:p>
    <w:p w:rsidR="0038103A" w:rsidRPr="00EB40F3" w:rsidRDefault="0038103A" w:rsidP="0038103A">
      <w:p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</w:t>
      </w:r>
      <w:proofErr w:type="spellEnd"/>
      <w:r w:rsidRPr="00EB40F3">
        <w:rPr>
          <w:rFonts w:ascii="Times New Roman" w:hAnsi="Times New Roman"/>
          <w:i/>
          <w:sz w:val="28"/>
          <w:szCs w:val="28"/>
        </w:rPr>
        <w:t xml:space="preserve"> =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</w:t>
      </w:r>
      <w:proofErr w:type="spellEnd"/>
      <w:r w:rsidRPr="00EB40F3">
        <w:rPr>
          <w:rFonts w:ascii="Times New Roman" w:hAnsi="Times New Roman"/>
          <w:i/>
          <w:sz w:val="28"/>
          <w:szCs w:val="28"/>
        </w:rPr>
        <w:t>(1 + 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B40F3">
        <w:rPr>
          <w:rFonts w:ascii="Times New Roman" w:hAnsi="Times New Roman"/>
          <w:i/>
          <w:sz w:val="28"/>
          <w:szCs w:val="28"/>
        </w:rPr>
        <w:t xml:space="preserve"> +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к.р</w:t>
      </w:r>
      <w:proofErr w:type="spellEnd"/>
      <w:r w:rsidRPr="00EB40F3">
        <w:rPr>
          <w:rFonts w:ascii="Times New Roman" w:hAnsi="Times New Roman"/>
          <w:i/>
          <w:sz w:val="28"/>
          <w:szCs w:val="28"/>
        </w:rPr>
        <w:t>)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З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э.д</w:t>
      </w:r>
      <w:proofErr w:type="spellEnd"/>
      <w:r w:rsidRPr="00EB40F3">
        <w:rPr>
          <w:rFonts w:ascii="Times New Roman" w:hAnsi="Times New Roman"/>
          <w:sz w:val="28"/>
          <w:szCs w:val="28"/>
        </w:rPr>
        <w:t>,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 w:rsidRPr="00EB40F3"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- трудоемкость выполнения работ по экспертизе, чел./день;</w:t>
      </w:r>
    </w:p>
    <w:p w:rsidR="0038103A" w:rsidRPr="00EB40F3" w:rsidRDefault="0038103A" w:rsidP="0038103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B40F3">
        <w:rPr>
          <w:rFonts w:ascii="Times New Roman" w:hAnsi="Times New Roman"/>
          <w:sz w:val="28"/>
          <w:szCs w:val="28"/>
        </w:rPr>
        <w:t>- установленный норматив отчислений из фонда заработной платы;</w:t>
      </w:r>
    </w:p>
    <w:p w:rsidR="0038103A" w:rsidRPr="00EB40F3" w:rsidRDefault="0038103A" w:rsidP="0038103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q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к.р</w:t>
      </w:r>
      <w:proofErr w:type="spellEnd"/>
      <w:r w:rsidRPr="00EB40F3">
        <w:rPr>
          <w:rFonts w:ascii="Times New Roman" w:hAnsi="Times New Roman"/>
          <w:sz w:val="28"/>
          <w:szCs w:val="28"/>
        </w:rPr>
        <w:t>- коэффициент косвенных расходов организации, осуществляющей проведение работ по экспертизе;</w:t>
      </w:r>
    </w:p>
    <w:p w:rsidR="0038103A" w:rsidRPr="00EB40F3" w:rsidRDefault="0038103A" w:rsidP="0038103A">
      <w:pPr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З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э.д</w:t>
      </w:r>
      <w:proofErr w:type="spellEnd"/>
      <w:r w:rsidRPr="00EB40F3">
        <w:rPr>
          <w:rFonts w:ascii="Times New Roman" w:hAnsi="Times New Roman"/>
          <w:sz w:val="28"/>
          <w:szCs w:val="28"/>
        </w:rPr>
        <w:t>- заработная плата специалиста-эксперта в день в рублях.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 w:rsidRPr="00EB40F3">
        <w:rPr>
          <w:rFonts w:ascii="Times New Roman" w:hAnsi="Times New Roman"/>
          <w:sz w:val="28"/>
          <w:szCs w:val="28"/>
        </w:rPr>
        <w:t xml:space="preserve">Трудоемкость выполнения работ по экспертизе проекта стандарта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EB40F3">
        <w:rPr>
          <w:rFonts w:ascii="Times New Roman" w:hAnsi="Times New Roman"/>
          <w:sz w:val="28"/>
          <w:szCs w:val="28"/>
        </w:rPr>
        <w:t xml:space="preserve">рекомендации, принимается: </w:t>
      </w:r>
      <w:proofErr w:type="spellStart"/>
      <w:r w:rsidRPr="00EB40F3">
        <w:rPr>
          <w:rFonts w:ascii="Times New Roman" w:hAnsi="Times New Roman"/>
          <w:i/>
          <w:sz w:val="28"/>
          <w:szCs w:val="28"/>
        </w:rPr>
        <w:t>Т</w:t>
      </w:r>
      <w:r w:rsidRPr="00EB40F3">
        <w:rPr>
          <w:rFonts w:ascii="Times New Roman" w:hAnsi="Times New Roman"/>
          <w:i/>
          <w:sz w:val="28"/>
          <w:szCs w:val="28"/>
          <w:vertAlign w:val="subscript"/>
        </w:rPr>
        <w:t>э</w:t>
      </w:r>
      <w:proofErr w:type="spellEnd"/>
      <w:r w:rsidRPr="00EB40F3">
        <w:rPr>
          <w:rFonts w:ascii="Times New Roman" w:hAnsi="Times New Roman"/>
          <w:sz w:val="28"/>
          <w:szCs w:val="28"/>
        </w:rPr>
        <w:t xml:space="preserve"> = 30 чел./день, при объеме документа до 100 страниц. При объеме проекта стандарта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EB40F3">
        <w:rPr>
          <w:rFonts w:ascii="Times New Roman" w:hAnsi="Times New Roman"/>
          <w:sz w:val="28"/>
          <w:szCs w:val="28"/>
        </w:rPr>
        <w:t xml:space="preserve">рекомендации 100 и более страниц трудоемкость увеличивается на 10 %. 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40F3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</w:t>
      </w:r>
      <w:r w:rsidRPr="00EB40F3">
        <w:rPr>
          <w:rFonts w:ascii="Times New Roman" w:hAnsi="Times New Roman"/>
          <w:sz w:val="28"/>
          <w:szCs w:val="28"/>
        </w:rPr>
        <w:t xml:space="preserve"> Оценка общей стоимости без учета НДС </w:t>
      </w:r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 w:cs="Arial"/>
          <w:i/>
          <w:iCs/>
          <w:sz w:val="28"/>
          <w:szCs w:val="28"/>
          <w:vertAlign w:val="subscript"/>
        </w:rPr>
        <w:t>р</w:t>
      </w:r>
      <w:r w:rsidRPr="00EB40F3">
        <w:rPr>
          <w:rFonts w:ascii="Times New Roman" w:hAnsi="Times New Roman" w:cs="Arial"/>
          <w:iCs/>
          <w:sz w:val="28"/>
          <w:szCs w:val="28"/>
        </w:rPr>
        <w:t xml:space="preserve">, руб., </w:t>
      </w:r>
      <w:r w:rsidRPr="00EB40F3">
        <w:rPr>
          <w:rFonts w:ascii="Times New Roman" w:hAnsi="Times New Roman"/>
          <w:sz w:val="28"/>
          <w:szCs w:val="28"/>
        </w:rPr>
        <w:t>вновь разрабатываемых стандартов или рекомендаций, а также их пересмотра и внесения в них изменений, вычисляется по формуле:</w:t>
      </w:r>
    </w:p>
    <w:p w:rsidR="0038103A" w:rsidRPr="00EB40F3" w:rsidRDefault="0038103A" w:rsidP="0038103A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/>
          <w:sz w:val="28"/>
          <w:szCs w:val="28"/>
          <w:vertAlign w:val="subscript"/>
        </w:rPr>
        <w:t>р</w:t>
      </w:r>
      <w:r w:rsidRPr="00EB40F3">
        <w:rPr>
          <w:rFonts w:ascii="Times New Roman" w:hAnsi="Times New Roman"/>
          <w:sz w:val="28"/>
          <w:szCs w:val="28"/>
        </w:rPr>
        <w:t>=</w:t>
      </w:r>
      <w:r w:rsidRPr="00EB40F3">
        <w:rPr>
          <w:rFonts w:ascii="Times New Roman" w:hAnsi="Times New Roman"/>
          <w:i/>
          <w:sz w:val="28"/>
          <w:szCs w:val="28"/>
        </w:rPr>
        <w:t>С</w:t>
      </w:r>
      <w:r w:rsidRPr="00EB40F3">
        <w:rPr>
          <w:rFonts w:ascii="Times New Roman" w:hAnsi="Times New Roman" w:cs="Arial"/>
          <w:i/>
          <w:iCs/>
          <w:sz w:val="28"/>
          <w:szCs w:val="28"/>
          <w:vertAlign w:val="subscript"/>
        </w:rPr>
        <w:t>ст</w:t>
      </w:r>
      <w:r w:rsidRPr="00EB40F3">
        <w:rPr>
          <w:rFonts w:ascii="Times New Roman" w:hAnsi="Times New Roman" w:cs="Arial"/>
          <w:i/>
          <w:iCs/>
          <w:sz w:val="28"/>
          <w:szCs w:val="28"/>
        </w:rPr>
        <w:t>+С</w:t>
      </w:r>
      <w:r w:rsidRPr="00EB40F3">
        <w:rPr>
          <w:rFonts w:ascii="Times New Roman" w:hAnsi="Times New Roman" w:cs="Arial"/>
          <w:iCs/>
          <w:sz w:val="28"/>
          <w:szCs w:val="28"/>
          <w:vertAlign w:val="subscript"/>
        </w:rPr>
        <w:t>э</w:t>
      </w:r>
      <w:proofErr w:type="spellEnd"/>
      <w:r w:rsidRPr="00EB40F3">
        <w:rPr>
          <w:rFonts w:ascii="Times New Roman" w:hAnsi="Times New Roman" w:cs="Arial"/>
          <w:iCs/>
          <w:sz w:val="28"/>
          <w:szCs w:val="28"/>
          <w:vertAlign w:val="subscript"/>
        </w:rPr>
        <w:t>.</w:t>
      </w:r>
    </w:p>
    <w:p w:rsidR="0038103A" w:rsidRDefault="0038103A" w:rsidP="0038103A"/>
    <w:p w:rsidR="006C6CBF" w:rsidRDefault="006C6CBF"/>
    <w:sectPr w:rsidR="006C6CBF" w:rsidSect="0024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103A"/>
    <w:rsid w:val="00107E0D"/>
    <w:rsid w:val="00287A2D"/>
    <w:rsid w:val="0038103A"/>
    <w:rsid w:val="004464EC"/>
    <w:rsid w:val="0050062E"/>
    <w:rsid w:val="00501CA7"/>
    <w:rsid w:val="005E4F2A"/>
    <w:rsid w:val="006730EF"/>
    <w:rsid w:val="006C6CBF"/>
    <w:rsid w:val="00707CA5"/>
    <w:rsid w:val="00733AF1"/>
    <w:rsid w:val="00775D17"/>
    <w:rsid w:val="0084151E"/>
    <w:rsid w:val="008C0291"/>
    <w:rsid w:val="00907282"/>
    <w:rsid w:val="00AA434B"/>
    <w:rsid w:val="00C170D4"/>
    <w:rsid w:val="00C30750"/>
    <w:rsid w:val="00C518A0"/>
    <w:rsid w:val="00D52FBA"/>
    <w:rsid w:val="00FA3152"/>
    <w:rsid w:val="00F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0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3905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2015-04-10T08:00:00Z</dcterms:created>
  <dcterms:modified xsi:type="dcterms:W3CDTF">2015-04-10T08:02:00Z</dcterms:modified>
</cp:coreProperties>
</file>